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60" w:rsidRDefault="00915678">
      <w:r>
        <w:t>S. 104/2</w:t>
      </w:r>
    </w:p>
    <w:p w:rsidR="00915678" w:rsidRDefault="00915678">
      <w:r>
        <w:t xml:space="preserve">Die Nullhypothese </w:t>
      </w:r>
      <w:r w:rsidRPr="00915678">
        <w:rPr>
          <w:position w:val="-12"/>
        </w:rPr>
        <w:object w:dxaOrig="12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45pt;height:18pt" o:ole="">
            <v:imagedata r:id="rId6" o:title=""/>
          </v:shape>
          <o:OLEObject Type="Embed" ProgID="Equation.DSMT4" ShapeID="_x0000_i1025" DrawAspect="Content" ObjectID="_1389710618" r:id="rId7"/>
        </w:object>
      </w:r>
      <w:r>
        <w:t xml:space="preserve"> soll zugunsten </w:t>
      </w:r>
      <w:r w:rsidRPr="00915678">
        <w:rPr>
          <w:position w:val="-12"/>
        </w:rPr>
        <w:object w:dxaOrig="1180" w:dyaOrig="360">
          <v:shape id="_x0000_i1026" type="#_x0000_t75" style="width:59.15pt;height:18pt" o:ole="">
            <v:imagedata r:id="rId8" o:title=""/>
          </v:shape>
          <o:OLEObject Type="Embed" ProgID="Equation.DSMT4" ShapeID="_x0000_i1026" DrawAspect="Content" ObjectID="_1389710619" r:id="rId9"/>
        </w:object>
      </w:r>
      <w:r>
        <w:t xml:space="preserve"> abgelehnt werden, wenn in einer Stichprobe vom Umfang n mindestens g Treffer gezählt werden.</w:t>
      </w:r>
    </w:p>
    <w:p w:rsidR="00915678" w:rsidRDefault="00915678" w:rsidP="00915678">
      <w:pPr>
        <w:pStyle w:val="Listenabsatz"/>
        <w:numPr>
          <w:ilvl w:val="0"/>
          <w:numId w:val="1"/>
        </w:numPr>
      </w:pPr>
      <w:r>
        <w:t xml:space="preserve">Es </w:t>
      </w:r>
      <w:proofErr w:type="gramStart"/>
      <w:r>
        <w:t xml:space="preserve">sei </w:t>
      </w:r>
      <w:r w:rsidRPr="00915678">
        <w:rPr>
          <w:position w:val="-6"/>
        </w:rPr>
        <w:object w:dxaOrig="660" w:dyaOrig="279">
          <v:shape id="_x0000_i1027" type="#_x0000_t75" style="width:33.45pt;height:14.15pt" o:ole="">
            <v:imagedata r:id="rId10" o:title=""/>
          </v:shape>
          <o:OLEObject Type="Embed" ProgID="Equation.DSMT4" ShapeID="_x0000_i1027" DrawAspect="Content" ObjectID="_1389710620" r:id="rId11"/>
        </w:object>
      </w:r>
      <w:proofErr w:type="gramEnd"/>
      <w:r>
        <w:t xml:space="preserve">. Bestimmen Sie für </w:t>
      </w:r>
      <w:r w:rsidRPr="00915678">
        <w:rPr>
          <w:position w:val="-10"/>
        </w:rPr>
        <w:object w:dxaOrig="1719" w:dyaOrig="320">
          <v:shape id="_x0000_i1028" type="#_x0000_t75" style="width:86.15pt;height:15.45pt" o:ole="">
            <v:imagedata r:id="rId12" o:title=""/>
          </v:shape>
          <o:OLEObject Type="Embed" ProgID="Equation.DSMT4" ShapeID="_x0000_i1028" DrawAspect="Content" ObjectID="_1389710621" r:id="rId13"/>
        </w:object>
      </w:r>
      <w:r>
        <w:t xml:space="preserve"> die Wahrscheinlichkeit für den Fehler 1. Art und unter der Annahme </w:t>
      </w:r>
      <w:r w:rsidRPr="00915678">
        <w:rPr>
          <w:position w:val="-10"/>
        </w:rPr>
        <w:object w:dxaOrig="780" w:dyaOrig="320">
          <v:shape id="_x0000_i1029" type="#_x0000_t75" style="width:38.55pt;height:15.45pt" o:ole="">
            <v:imagedata r:id="rId14" o:title=""/>
          </v:shape>
          <o:OLEObject Type="Embed" ProgID="Equation.DSMT4" ShapeID="_x0000_i1029" DrawAspect="Content" ObjectID="_1389710622" r:id="rId15"/>
        </w:object>
      </w:r>
      <w:r>
        <w:t xml:space="preserve"> die Wahrscheinlichkeit für den Fehler 2. Art.</w:t>
      </w:r>
    </w:p>
    <w:p w:rsidR="00915678" w:rsidRDefault="00915678" w:rsidP="00915678">
      <w:pPr>
        <w:pStyle w:val="Listenabsatz"/>
        <w:numPr>
          <w:ilvl w:val="0"/>
          <w:numId w:val="1"/>
        </w:numPr>
      </w:pPr>
      <w:r>
        <w:t>Stellen Sie die Werte jeweils in einer Tabelle zusammen. Für welches g ist die Summe der beiden Wahrscheinlichkeiten minimal?</w:t>
      </w:r>
    </w:p>
    <w:p w:rsidR="00915678" w:rsidRDefault="00915678" w:rsidP="00915678">
      <w:r>
        <w:t xml:space="preserve">Wegen der Gegenhypothese </w:t>
      </w:r>
      <w:r w:rsidRPr="00915678">
        <w:rPr>
          <w:position w:val="-12"/>
        </w:rPr>
        <w:object w:dxaOrig="1180" w:dyaOrig="360">
          <v:shape id="_x0000_i1030" type="#_x0000_t75" style="width:59.15pt;height:18pt" o:ole="">
            <v:imagedata r:id="rId8" o:title=""/>
          </v:shape>
          <o:OLEObject Type="Embed" ProgID="Equation.DSMT4" ShapeID="_x0000_i1030" DrawAspect="Content" ObjectID="_1389710623" r:id="rId16"/>
        </w:object>
      </w:r>
      <w:r>
        <w:t xml:space="preserve"> sprechen wir von einem rechtsseitigen Signifikanztest, d.h. das Intervall </w:t>
      </w:r>
      <w:r w:rsidRPr="00915678">
        <w:rPr>
          <w:position w:val="-14"/>
        </w:rPr>
        <w:object w:dxaOrig="960" w:dyaOrig="400">
          <v:shape id="_x0000_i1031" type="#_x0000_t75" style="width:47.55pt;height:20.55pt" o:ole="">
            <v:imagedata r:id="rId17" o:title=""/>
          </v:shape>
          <o:OLEObject Type="Embed" ProgID="Equation.DSMT4" ShapeID="_x0000_i1031" DrawAspect="Content" ObjectID="_1389710624" r:id="rId18"/>
        </w:object>
      </w:r>
      <w:r>
        <w:t xml:space="preserve"> wird wie folgt eingeteilt:</w:t>
      </w:r>
    </w:p>
    <w:p w:rsidR="00915678" w:rsidRDefault="00915678" w:rsidP="00915678">
      <w:r>
        <w:t xml:space="preserve">Kritischer Bereich </w:t>
      </w:r>
      <w:r w:rsidRPr="00915678">
        <w:rPr>
          <w:position w:val="-14"/>
        </w:rPr>
        <w:object w:dxaOrig="1860" w:dyaOrig="400">
          <v:shape id="_x0000_i1032" type="#_x0000_t75" style="width:92.55pt;height:20.55pt" o:ole="">
            <v:imagedata r:id="rId19" o:title=""/>
          </v:shape>
          <o:OLEObject Type="Embed" ProgID="Equation.DSMT4" ShapeID="_x0000_i1032" DrawAspect="Content" ObjectID="_1389710625" r:id="rId20"/>
        </w:object>
      </w:r>
      <w:r>
        <w:t xml:space="preserve"> und daneben der Annahmebereich </w:t>
      </w:r>
      <w:r w:rsidRPr="00915678">
        <w:rPr>
          <w:position w:val="-14"/>
        </w:rPr>
        <w:object w:dxaOrig="1760" w:dyaOrig="420">
          <v:shape id="_x0000_i1033" type="#_x0000_t75" style="width:87.45pt;height:20.55pt" o:ole="">
            <v:imagedata r:id="rId21" o:title=""/>
          </v:shape>
          <o:OLEObject Type="Embed" ProgID="Equation.DSMT4" ShapeID="_x0000_i1033" DrawAspect="Content" ObjectID="_1389710626" r:id="rId22"/>
        </w:object>
      </w:r>
      <w: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915678" w:rsidTr="00915678">
        <w:tc>
          <w:tcPr>
            <w:tcW w:w="1535" w:type="dxa"/>
          </w:tcPr>
          <w:p w:rsidR="00915678" w:rsidRPr="00915678" w:rsidRDefault="00915678" w:rsidP="00915678">
            <w:pPr>
              <w:rPr>
                <w:sz w:val="16"/>
              </w:rPr>
            </w:pPr>
            <w:r w:rsidRPr="00915678">
              <w:rPr>
                <w:sz w:val="16"/>
              </w:rPr>
              <w:t>g</w:t>
            </w:r>
          </w:p>
        </w:tc>
        <w:tc>
          <w:tcPr>
            <w:tcW w:w="1535" w:type="dxa"/>
            <w:vAlign w:val="center"/>
          </w:tcPr>
          <w:p w:rsidR="00915678" w:rsidRDefault="00915678" w:rsidP="00915678">
            <w:pPr>
              <w:jc w:val="center"/>
            </w:pPr>
            <w:r>
              <w:t>4</w:t>
            </w:r>
          </w:p>
        </w:tc>
        <w:tc>
          <w:tcPr>
            <w:tcW w:w="1535" w:type="dxa"/>
            <w:vAlign w:val="center"/>
          </w:tcPr>
          <w:p w:rsidR="00915678" w:rsidRDefault="00915678" w:rsidP="00915678">
            <w:pPr>
              <w:jc w:val="center"/>
            </w:pPr>
            <w:r>
              <w:t>5</w:t>
            </w:r>
          </w:p>
        </w:tc>
        <w:tc>
          <w:tcPr>
            <w:tcW w:w="1535" w:type="dxa"/>
            <w:vAlign w:val="center"/>
          </w:tcPr>
          <w:p w:rsidR="00915678" w:rsidRDefault="00915678" w:rsidP="00915678">
            <w:pPr>
              <w:jc w:val="center"/>
            </w:pPr>
            <w:r>
              <w:t>6</w:t>
            </w:r>
          </w:p>
        </w:tc>
        <w:tc>
          <w:tcPr>
            <w:tcW w:w="1536" w:type="dxa"/>
            <w:vAlign w:val="center"/>
          </w:tcPr>
          <w:p w:rsidR="00915678" w:rsidRDefault="00915678" w:rsidP="00915678">
            <w:pPr>
              <w:jc w:val="center"/>
            </w:pPr>
            <w:r>
              <w:t>7</w:t>
            </w:r>
          </w:p>
        </w:tc>
        <w:tc>
          <w:tcPr>
            <w:tcW w:w="1536" w:type="dxa"/>
            <w:vAlign w:val="center"/>
          </w:tcPr>
          <w:p w:rsidR="00915678" w:rsidRDefault="00915678" w:rsidP="00915678">
            <w:pPr>
              <w:jc w:val="center"/>
            </w:pPr>
            <w:r>
              <w:t>8</w:t>
            </w:r>
          </w:p>
        </w:tc>
      </w:tr>
      <w:tr w:rsidR="00915678" w:rsidTr="00915678">
        <w:tc>
          <w:tcPr>
            <w:tcW w:w="1535" w:type="dxa"/>
          </w:tcPr>
          <w:p w:rsidR="00915678" w:rsidRPr="00915678" w:rsidRDefault="00915678" w:rsidP="00915678">
            <w:pPr>
              <w:rPr>
                <w:sz w:val="16"/>
              </w:rPr>
            </w:pPr>
            <w:r w:rsidRPr="00915678">
              <w:rPr>
                <w:sz w:val="16"/>
              </w:rPr>
              <w:t>Wahrscheinlichkeit für den Fehler 1. Art</w:t>
            </w:r>
          </w:p>
        </w:tc>
        <w:tc>
          <w:tcPr>
            <w:tcW w:w="1535" w:type="dxa"/>
            <w:vAlign w:val="center"/>
          </w:tcPr>
          <w:p w:rsidR="00915678" w:rsidRPr="00DB344C" w:rsidRDefault="00DB344C" w:rsidP="008236D7">
            <w:pPr>
              <w:jc w:val="center"/>
              <w:rPr>
                <w:sz w:val="16"/>
              </w:rPr>
            </w:pPr>
            <w:r w:rsidRPr="00DB344C">
              <w:rPr>
                <w:sz w:val="16"/>
              </w:rPr>
              <w:t>1-0,64961</w:t>
            </w:r>
            <w:r w:rsidR="008236D7">
              <w:rPr>
                <w:rFonts w:cstheme="minorHAnsi"/>
                <w:sz w:val="16"/>
              </w:rPr>
              <w:t>≈</w:t>
            </w:r>
            <w:r w:rsidRPr="00DB344C">
              <w:rPr>
                <w:sz w:val="16"/>
              </w:rPr>
              <w:t>35,04%</w:t>
            </w:r>
          </w:p>
        </w:tc>
        <w:tc>
          <w:tcPr>
            <w:tcW w:w="1535" w:type="dxa"/>
            <w:vAlign w:val="center"/>
          </w:tcPr>
          <w:p w:rsidR="00915678" w:rsidRPr="00DB344C" w:rsidRDefault="00DB344C" w:rsidP="0091567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1-0,84973</w:t>
            </w:r>
            <w:r w:rsidR="008236D7">
              <w:rPr>
                <w:rFonts w:cstheme="minorHAnsi"/>
                <w:sz w:val="16"/>
              </w:rPr>
              <w:t>≈</w:t>
            </w:r>
            <w:r>
              <w:rPr>
                <w:sz w:val="16"/>
              </w:rPr>
              <w:t>15,03%</w:t>
            </w:r>
          </w:p>
        </w:tc>
        <w:tc>
          <w:tcPr>
            <w:tcW w:w="1535" w:type="dxa"/>
            <w:vAlign w:val="center"/>
          </w:tcPr>
          <w:p w:rsidR="00915678" w:rsidRPr="00DB344C" w:rsidRDefault="00DB344C" w:rsidP="0091567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1-0,95265</w:t>
            </w:r>
            <w:r w:rsidR="008236D7">
              <w:rPr>
                <w:rFonts w:cstheme="minorHAnsi"/>
                <w:sz w:val="16"/>
              </w:rPr>
              <w:t>≈</w:t>
            </w:r>
            <w:r>
              <w:rPr>
                <w:sz w:val="16"/>
              </w:rPr>
              <w:t>4,74%</w:t>
            </w:r>
          </w:p>
        </w:tc>
        <w:tc>
          <w:tcPr>
            <w:tcW w:w="1536" w:type="dxa"/>
            <w:vAlign w:val="center"/>
          </w:tcPr>
          <w:p w:rsidR="00915678" w:rsidRPr="00DB344C" w:rsidRDefault="00DB344C" w:rsidP="0091567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1-0,98941</w:t>
            </w:r>
            <w:r w:rsidR="008236D7">
              <w:rPr>
                <w:rFonts w:cstheme="minorHAnsi"/>
                <w:sz w:val="16"/>
              </w:rPr>
              <w:t>≈</w:t>
            </w:r>
            <w:r>
              <w:rPr>
                <w:sz w:val="16"/>
              </w:rPr>
              <w:t>1,06%</w:t>
            </w:r>
          </w:p>
        </w:tc>
        <w:tc>
          <w:tcPr>
            <w:tcW w:w="1536" w:type="dxa"/>
            <w:vAlign w:val="center"/>
          </w:tcPr>
          <w:p w:rsidR="00915678" w:rsidRPr="00DB344C" w:rsidRDefault="00DB344C" w:rsidP="0091567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1-0,99841</w:t>
            </w:r>
            <w:r w:rsidR="008236D7">
              <w:rPr>
                <w:rFonts w:cstheme="minorHAnsi"/>
                <w:sz w:val="16"/>
              </w:rPr>
              <w:t>≈</w:t>
            </w:r>
            <w:r>
              <w:rPr>
                <w:sz w:val="16"/>
              </w:rPr>
              <w:t>0,16%</w:t>
            </w:r>
          </w:p>
        </w:tc>
      </w:tr>
      <w:tr w:rsidR="00915678" w:rsidTr="00915678">
        <w:tc>
          <w:tcPr>
            <w:tcW w:w="1535" w:type="dxa"/>
          </w:tcPr>
          <w:p w:rsidR="00915678" w:rsidRPr="00915678" w:rsidRDefault="00915678" w:rsidP="00915678">
            <w:pPr>
              <w:rPr>
                <w:sz w:val="16"/>
              </w:rPr>
            </w:pPr>
            <w:r w:rsidRPr="00915678">
              <w:rPr>
                <w:sz w:val="16"/>
              </w:rPr>
              <w:t xml:space="preserve">Wahrscheinlichkeit für den Fehler 2. Art </w:t>
            </w:r>
          </w:p>
        </w:tc>
        <w:tc>
          <w:tcPr>
            <w:tcW w:w="1535" w:type="dxa"/>
            <w:vAlign w:val="center"/>
          </w:tcPr>
          <w:p w:rsidR="00915678" w:rsidRPr="00DB344C" w:rsidRDefault="00DB344C" w:rsidP="0091567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0,17188</w:t>
            </w:r>
            <w:r w:rsidR="008236D7">
              <w:rPr>
                <w:rFonts w:cstheme="minorHAnsi"/>
                <w:sz w:val="16"/>
              </w:rPr>
              <w:t>≈</w:t>
            </w:r>
            <w:r>
              <w:rPr>
                <w:sz w:val="16"/>
              </w:rPr>
              <w:t>17,19%</w:t>
            </w:r>
          </w:p>
        </w:tc>
        <w:tc>
          <w:tcPr>
            <w:tcW w:w="1535" w:type="dxa"/>
            <w:vAlign w:val="center"/>
          </w:tcPr>
          <w:p w:rsidR="00915678" w:rsidRPr="00DB344C" w:rsidRDefault="00DB344C" w:rsidP="0091567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0,37695</w:t>
            </w:r>
            <w:r w:rsidR="008236D7">
              <w:rPr>
                <w:rFonts w:cstheme="minorHAnsi"/>
                <w:sz w:val="16"/>
              </w:rPr>
              <w:t>≈</w:t>
            </w:r>
            <w:r>
              <w:rPr>
                <w:sz w:val="16"/>
              </w:rPr>
              <w:t>37,70%</w:t>
            </w:r>
          </w:p>
        </w:tc>
        <w:tc>
          <w:tcPr>
            <w:tcW w:w="1535" w:type="dxa"/>
            <w:vAlign w:val="center"/>
          </w:tcPr>
          <w:p w:rsidR="00915678" w:rsidRPr="00DB344C" w:rsidRDefault="00DB344C" w:rsidP="0091567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0,62305</w:t>
            </w:r>
            <w:r w:rsidR="008236D7">
              <w:rPr>
                <w:rFonts w:cstheme="minorHAnsi"/>
                <w:sz w:val="16"/>
              </w:rPr>
              <w:t>≈</w:t>
            </w:r>
            <w:r>
              <w:rPr>
                <w:sz w:val="16"/>
              </w:rPr>
              <w:t>62,31%</w:t>
            </w:r>
          </w:p>
        </w:tc>
        <w:tc>
          <w:tcPr>
            <w:tcW w:w="1536" w:type="dxa"/>
            <w:vAlign w:val="center"/>
          </w:tcPr>
          <w:p w:rsidR="00915678" w:rsidRPr="00DB344C" w:rsidRDefault="00DB344C" w:rsidP="0091567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0,82813</w:t>
            </w:r>
            <w:r w:rsidR="008236D7">
              <w:rPr>
                <w:rFonts w:cstheme="minorHAnsi"/>
                <w:sz w:val="16"/>
              </w:rPr>
              <w:t>≈</w:t>
            </w:r>
            <w:r>
              <w:rPr>
                <w:sz w:val="16"/>
              </w:rPr>
              <w:t>82,81%</w:t>
            </w:r>
          </w:p>
        </w:tc>
        <w:tc>
          <w:tcPr>
            <w:tcW w:w="1536" w:type="dxa"/>
            <w:vAlign w:val="center"/>
          </w:tcPr>
          <w:p w:rsidR="00915678" w:rsidRPr="00DB344C" w:rsidRDefault="00DB344C" w:rsidP="0091567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0,94531</w:t>
            </w:r>
            <w:r w:rsidR="008236D7">
              <w:rPr>
                <w:rFonts w:cstheme="minorHAnsi"/>
                <w:sz w:val="16"/>
              </w:rPr>
              <w:t>≈</w:t>
            </w:r>
            <w:r>
              <w:rPr>
                <w:sz w:val="16"/>
              </w:rPr>
              <w:t>94,53%</w:t>
            </w:r>
          </w:p>
        </w:tc>
      </w:tr>
    </w:tbl>
    <w:p w:rsidR="00915678" w:rsidRDefault="00915678" w:rsidP="00915678"/>
    <w:p w:rsidR="00915678" w:rsidRDefault="00915678" w:rsidP="00915678">
      <w:r>
        <w:t xml:space="preserve">Die Wahrscheinlichkeit für den Fehler 1. Art (Ablehnung der Nullhypothese, obwohl sie richtig ist!) berechnet sich wie folgt: </w:t>
      </w:r>
      <w:r w:rsidR="00DB344C" w:rsidRPr="00DB344C">
        <w:rPr>
          <w:position w:val="-28"/>
        </w:rPr>
        <w:object w:dxaOrig="4780" w:dyaOrig="680">
          <v:shape id="_x0000_i1034" type="#_x0000_t75" style="width:239.15pt;height:33.45pt" o:ole="">
            <v:imagedata r:id="rId23" o:title=""/>
          </v:shape>
          <o:OLEObject Type="Embed" ProgID="Equation.DSMT4" ShapeID="_x0000_i1034" DrawAspect="Content" ObjectID="_1389710627" r:id="rId24"/>
        </w:object>
      </w:r>
      <w:r>
        <w:t xml:space="preserve">. Die jeweiligen Wert finden sich in der Tabelle, weil die Testgröße Z </w:t>
      </w:r>
      <w:r w:rsidRPr="00915678">
        <w:rPr>
          <w:position w:val="-14"/>
        </w:rPr>
        <w:object w:dxaOrig="1060" w:dyaOrig="400">
          <v:shape id="_x0000_i1035" type="#_x0000_t75" style="width:52.7pt;height:20.55pt" o:ole="">
            <v:imagedata r:id="rId25" o:title=""/>
          </v:shape>
          <o:OLEObject Type="Embed" ProgID="Equation.DSMT4" ShapeID="_x0000_i1035" DrawAspect="Content" ObjectID="_1389710628" r:id="rId26"/>
        </w:object>
      </w:r>
      <w:r>
        <w:t>-verteilt ist.</w:t>
      </w:r>
    </w:p>
    <w:p w:rsidR="00DB344C" w:rsidRDefault="00DB344C" w:rsidP="00915678">
      <w:r>
        <w:t xml:space="preserve">Die Wahrscheinlichkeit für den Fehler 2. Art (Annahme der Nullhypothese, obwohl sie falsch ist!) berechnet sich folgt: </w:t>
      </w:r>
      <w:r w:rsidRPr="00DB344C">
        <w:rPr>
          <w:position w:val="-28"/>
        </w:rPr>
        <w:object w:dxaOrig="3040" w:dyaOrig="680">
          <v:shape id="_x0000_i1036" type="#_x0000_t75" style="width:151.7pt;height:33.45pt" o:ole="">
            <v:imagedata r:id="rId27" o:title=""/>
          </v:shape>
          <o:OLEObject Type="Embed" ProgID="Equation.DSMT4" ShapeID="_x0000_i1036" DrawAspect="Content" ObjectID="_1389710629" r:id="rId28"/>
        </w:object>
      </w:r>
      <w:r>
        <w:t>.</w:t>
      </w:r>
    </w:p>
    <w:p w:rsidR="00780D05" w:rsidRDefault="00780D05" w:rsidP="00915678">
      <w:r>
        <w:t xml:space="preserve">Die Summe der beiden Wahrscheinlichkeiten ist für </w:t>
      </w:r>
      <w:r w:rsidRPr="00780D05">
        <w:rPr>
          <w:position w:val="-10"/>
        </w:rPr>
        <w:object w:dxaOrig="580" w:dyaOrig="320">
          <v:shape id="_x0000_i1037" type="#_x0000_t75" style="width:29.55pt;height:15.45pt" o:ole="">
            <v:imagedata r:id="rId29" o:title=""/>
          </v:shape>
          <o:OLEObject Type="Embed" ProgID="Equation.DSMT4" ShapeID="_x0000_i1037" DrawAspect="Content" ObjectID="_1389710630" r:id="rId30"/>
        </w:object>
      </w:r>
      <w:r>
        <w:t xml:space="preserve"> am niedrigsten.</w:t>
      </w:r>
    </w:p>
    <w:p w:rsidR="00780D05" w:rsidRDefault="00780D05" w:rsidP="00915678"/>
    <w:p w:rsidR="00F301AF" w:rsidRDefault="00F301AF" w:rsidP="00915678">
      <w:pPr>
        <w:sectPr w:rsidR="00F301A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80D05" w:rsidRDefault="00780D05" w:rsidP="00915678">
      <w:r>
        <w:lastRenderedPageBreak/>
        <w:t>S.105/6</w:t>
      </w:r>
    </w:p>
    <w:p w:rsidR="00780D05" w:rsidRDefault="00780D05" w:rsidP="00915678">
      <w:r>
        <w:t xml:space="preserve">Der Anteil der weißen Kugeln in einer Urne ist entweder 20% oder größer. </w:t>
      </w:r>
      <w:r w:rsidR="00F301AF">
        <w:t xml:space="preserve">Die Nullhypothese </w:t>
      </w:r>
      <w:r w:rsidR="00F301AF" w:rsidRPr="00915678">
        <w:rPr>
          <w:position w:val="-12"/>
        </w:rPr>
        <w:object w:dxaOrig="1219" w:dyaOrig="360">
          <v:shape id="_x0000_i1038" type="#_x0000_t75" style="width:60.45pt;height:18pt" o:ole="">
            <v:imagedata r:id="rId31" o:title=""/>
          </v:shape>
          <o:OLEObject Type="Embed" ProgID="Equation.DSMT4" ShapeID="_x0000_i1038" DrawAspect="Content" ObjectID="_1389710631" r:id="rId32"/>
        </w:object>
      </w:r>
      <w:r w:rsidR="00F301AF">
        <w:t xml:space="preserve"> soll bei einem Stichprobenumfang der Länge n getestet werden.</w:t>
      </w:r>
    </w:p>
    <w:p w:rsidR="00F301AF" w:rsidRDefault="00F301AF" w:rsidP="00F301AF">
      <w:pPr>
        <w:pStyle w:val="Listenabsatz"/>
        <w:numPr>
          <w:ilvl w:val="0"/>
          <w:numId w:val="2"/>
        </w:numPr>
      </w:pPr>
      <w:r>
        <w:t xml:space="preserve">Bei </w:t>
      </w:r>
      <w:r w:rsidRPr="00F301AF">
        <w:rPr>
          <w:position w:val="-6"/>
        </w:rPr>
        <w:object w:dxaOrig="680" w:dyaOrig="279">
          <v:shape id="_x0000_i1039" type="#_x0000_t75" style="width:33.45pt;height:14.15pt" o:ole="">
            <v:imagedata r:id="rId33" o:title=""/>
          </v:shape>
          <o:OLEObject Type="Embed" ProgID="Equation.DSMT4" ShapeID="_x0000_i1039" DrawAspect="Content" ObjectID="_1389710632" r:id="rId34"/>
        </w:object>
      </w:r>
      <w:r>
        <w:t xml:space="preserve"> Ziehungen mit Zurücklegen wird als Ablehnungsbereich </w:t>
      </w:r>
      <w:r w:rsidRPr="00915678">
        <w:rPr>
          <w:position w:val="-14"/>
        </w:rPr>
        <w:object w:dxaOrig="1620" w:dyaOrig="400">
          <v:shape id="_x0000_i1040" type="#_x0000_t75" style="width:81pt;height:20.55pt" o:ole="">
            <v:imagedata r:id="rId35" o:title=""/>
          </v:shape>
          <o:OLEObject Type="Embed" ProgID="Equation.DSMT4" ShapeID="_x0000_i1040" DrawAspect="Content" ObjectID="_1389710633" r:id="rId36"/>
        </w:object>
      </w:r>
      <w:r>
        <w:t xml:space="preserve"> festgelegt. Berechnen Sie die Wahrscheinlichkeit für den Fehler 1. Art und für den Fall </w:t>
      </w:r>
      <w:r w:rsidRPr="00F301AF">
        <w:rPr>
          <w:position w:val="-10"/>
        </w:rPr>
        <w:object w:dxaOrig="920" w:dyaOrig="320">
          <v:shape id="_x0000_i1041" type="#_x0000_t75" style="width:46.3pt;height:15.45pt" o:ole="">
            <v:imagedata r:id="rId37" o:title=""/>
          </v:shape>
          <o:OLEObject Type="Embed" ProgID="Equation.DSMT4" ShapeID="_x0000_i1041" DrawAspect="Content" ObjectID="_1389710634" r:id="rId38"/>
        </w:object>
      </w:r>
      <w:r>
        <w:t xml:space="preserve"> die Wahrscheinlichkeit für den Fehler 2. Art.</w:t>
      </w:r>
    </w:p>
    <w:p w:rsidR="00F301AF" w:rsidRDefault="00F301AF" w:rsidP="00F301AF">
      <w:r>
        <w:t xml:space="preserve">Wahrscheinlichkeit für den Fehler 1. Art: </w:t>
      </w:r>
      <w:r w:rsidRPr="00F301AF">
        <w:rPr>
          <w:position w:val="-28"/>
        </w:rPr>
        <w:object w:dxaOrig="6619" w:dyaOrig="680">
          <v:shape id="_x0000_i1042" type="#_x0000_t75" style="width:330.45pt;height:33.45pt" o:ole="">
            <v:imagedata r:id="rId39" o:title=""/>
          </v:shape>
          <o:OLEObject Type="Embed" ProgID="Equation.DSMT4" ShapeID="_x0000_i1042" DrawAspect="Content" ObjectID="_1389710635" r:id="rId40"/>
        </w:object>
      </w:r>
      <w:r>
        <w:t>.</w:t>
      </w:r>
    </w:p>
    <w:p w:rsidR="00F301AF" w:rsidRDefault="00F301AF" w:rsidP="00F301AF">
      <w:r>
        <w:t>Wahrscheinlichkeit für den Fehler 2. Art:</w:t>
      </w:r>
    </w:p>
    <w:p w:rsidR="00F301AF" w:rsidRDefault="00F301AF" w:rsidP="00F301AF">
      <w:r w:rsidRPr="00F301AF">
        <w:rPr>
          <w:position w:val="-28"/>
        </w:rPr>
        <w:object w:dxaOrig="4760" w:dyaOrig="680">
          <v:shape id="_x0000_i1043" type="#_x0000_t75" style="width:237.85pt;height:33.45pt" o:ole="">
            <v:imagedata r:id="rId41" o:title=""/>
          </v:shape>
          <o:OLEObject Type="Embed" ProgID="Equation.DSMT4" ShapeID="_x0000_i1043" DrawAspect="Content" ObjectID="_1389710636" r:id="rId42"/>
        </w:object>
      </w:r>
      <w:r>
        <w:t>.</w:t>
      </w:r>
    </w:p>
    <w:p w:rsidR="00F301AF" w:rsidRDefault="008236D7" w:rsidP="008236D7">
      <w:pPr>
        <w:pStyle w:val="Listenabsatz"/>
        <w:numPr>
          <w:ilvl w:val="0"/>
          <w:numId w:val="2"/>
        </w:numPr>
      </w:pPr>
      <w:r>
        <w:t xml:space="preserve">Durch </w:t>
      </w:r>
      <w:r w:rsidRPr="00F301AF">
        <w:rPr>
          <w:position w:val="-6"/>
        </w:rPr>
        <w:object w:dxaOrig="680" w:dyaOrig="279">
          <v:shape id="_x0000_i1044" type="#_x0000_t75" style="width:33.45pt;height:14.15pt" o:ole="">
            <v:imagedata r:id="rId43" o:title=""/>
          </v:shape>
          <o:OLEObject Type="Embed" ProgID="Equation.DSMT4" ShapeID="_x0000_i1044" DrawAspect="Content" ObjectID="_1389710637" r:id="rId44"/>
        </w:object>
      </w:r>
      <w:r>
        <w:t xml:space="preserve"> Ziehungen soll entschieden werden, welcher Fall vorliegt. Der Ablehnungsbereich für die Nullhypothese </w:t>
      </w:r>
      <w:proofErr w:type="gramStart"/>
      <w:r>
        <w:t xml:space="preserve">sei </w:t>
      </w:r>
      <w:r w:rsidRPr="00915678">
        <w:rPr>
          <w:position w:val="-14"/>
        </w:rPr>
        <w:object w:dxaOrig="1960" w:dyaOrig="400">
          <v:shape id="_x0000_i1045" type="#_x0000_t75" style="width:97.7pt;height:20.55pt" o:ole="">
            <v:imagedata r:id="rId45" o:title=""/>
          </v:shape>
          <o:OLEObject Type="Embed" ProgID="Equation.DSMT4" ShapeID="_x0000_i1045" DrawAspect="Content" ObjectID="_1389710638" r:id="rId46"/>
        </w:object>
      </w:r>
      <w:proofErr w:type="gramEnd"/>
      <w:r>
        <w:t xml:space="preserve">. Berechnen Sie für </w:t>
      </w:r>
      <w:r w:rsidRPr="008236D7">
        <w:rPr>
          <w:position w:val="-10"/>
        </w:rPr>
        <w:object w:dxaOrig="1620" w:dyaOrig="320">
          <v:shape id="_x0000_i1046" type="#_x0000_t75" style="width:81pt;height:15.45pt" o:ole="">
            <v:imagedata r:id="rId47" o:title=""/>
          </v:shape>
          <o:OLEObject Type="Embed" ProgID="Equation.DSMT4" ShapeID="_x0000_i1046" DrawAspect="Content" ObjectID="_1389710639" r:id="rId48"/>
        </w:object>
      </w:r>
      <w:r>
        <w:t xml:space="preserve"> die Wahrscheinlichkeiten für den Fehler 1. Art und für den Fall </w:t>
      </w:r>
      <w:r w:rsidRPr="008236D7">
        <w:rPr>
          <w:position w:val="-10"/>
        </w:rPr>
        <w:object w:dxaOrig="920" w:dyaOrig="320">
          <v:shape id="_x0000_i1047" type="#_x0000_t75" style="width:46.3pt;height:15.45pt" o:ole="">
            <v:imagedata r:id="rId49" o:title=""/>
          </v:shape>
          <o:OLEObject Type="Embed" ProgID="Equation.DSMT4" ShapeID="_x0000_i1047" DrawAspect="Content" ObjectID="_1389710640" r:id="rId50"/>
        </w:object>
      </w:r>
      <w:r>
        <w:t xml:space="preserve"> die Wahrscheinlichkeit für den Fehler 2. Art.</w:t>
      </w:r>
    </w:p>
    <w:tbl>
      <w:tblPr>
        <w:tblStyle w:val="Tabellenraster"/>
        <w:tblW w:w="0" w:type="auto"/>
        <w:tblInd w:w="696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</w:tblGrid>
      <w:tr w:rsidR="008236D7" w:rsidTr="008236D7">
        <w:tc>
          <w:tcPr>
            <w:tcW w:w="1535" w:type="dxa"/>
          </w:tcPr>
          <w:p w:rsidR="008236D7" w:rsidRPr="00915678" w:rsidRDefault="008236D7" w:rsidP="00251CC1">
            <w:pPr>
              <w:rPr>
                <w:sz w:val="16"/>
              </w:rPr>
            </w:pPr>
            <w:r w:rsidRPr="00915678">
              <w:rPr>
                <w:sz w:val="16"/>
              </w:rPr>
              <w:t>g</w:t>
            </w:r>
          </w:p>
        </w:tc>
        <w:tc>
          <w:tcPr>
            <w:tcW w:w="1535" w:type="dxa"/>
            <w:vAlign w:val="center"/>
          </w:tcPr>
          <w:p w:rsidR="008236D7" w:rsidRDefault="008236D7" w:rsidP="00251CC1">
            <w:pPr>
              <w:jc w:val="center"/>
            </w:pPr>
            <w:r>
              <w:t>14</w:t>
            </w:r>
          </w:p>
        </w:tc>
        <w:tc>
          <w:tcPr>
            <w:tcW w:w="1535" w:type="dxa"/>
            <w:vAlign w:val="center"/>
          </w:tcPr>
          <w:p w:rsidR="008236D7" w:rsidRDefault="008236D7" w:rsidP="00251CC1">
            <w:pPr>
              <w:jc w:val="center"/>
            </w:pPr>
            <w:r>
              <w:t>15</w:t>
            </w:r>
          </w:p>
        </w:tc>
        <w:tc>
          <w:tcPr>
            <w:tcW w:w="1535" w:type="dxa"/>
            <w:vAlign w:val="center"/>
          </w:tcPr>
          <w:p w:rsidR="008236D7" w:rsidRDefault="008236D7" w:rsidP="00251CC1">
            <w:pPr>
              <w:jc w:val="center"/>
            </w:pPr>
            <w:r>
              <w:t>16</w:t>
            </w:r>
          </w:p>
        </w:tc>
        <w:tc>
          <w:tcPr>
            <w:tcW w:w="1536" w:type="dxa"/>
            <w:vAlign w:val="center"/>
          </w:tcPr>
          <w:p w:rsidR="008236D7" w:rsidRDefault="008236D7" w:rsidP="00251CC1">
            <w:pPr>
              <w:jc w:val="center"/>
            </w:pPr>
            <w:r>
              <w:t>17</w:t>
            </w:r>
          </w:p>
        </w:tc>
      </w:tr>
      <w:tr w:rsidR="008236D7" w:rsidTr="008236D7">
        <w:tc>
          <w:tcPr>
            <w:tcW w:w="1535" w:type="dxa"/>
          </w:tcPr>
          <w:p w:rsidR="008236D7" w:rsidRPr="00915678" w:rsidRDefault="008236D7" w:rsidP="00251CC1">
            <w:pPr>
              <w:rPr>
                <w:sz w:val="16"/>
              </w:rPr>
            </w:pPr>
            <w:r w:rsidRPr="00915678">
              <w:rPr>
                <w:sz w:val="16"/>
              </w:rPr>
              <w:t>Wahrscheinlichkeit für den Fehler 1. Art</w:t>
            </w:r>
          </w:p>
        </w:tc>
        <w:tc>
          <w:tcPr>
            <w:tcW w:w="1535" w:type="dxa"/>
            <w:vAlign w:val="center"/>
          </w:tcPr>
          <w:p w:rsidR="008236D7" w:rsidRPr="00DB344C" w:rsidRDefault="008236D7" w:rsidP="008236D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1-0,88941</w:t>
            </w:r>
            <w:r>
              <w:rPr>
                <w:rFonts w:cstheme="minorHAnsi"/>
                <w:sz w:val="16"/>
              </w:rPr>
              <w:t>≈</w:t>
            </w:r>
            <w:r>
              <w:rPr>
                <w:sz w:val="16"/>
              </w:rPr>
              <w:t>11,06</w:t>
            </w:r>
            <w:r w:rsidRPr="00DB344C">
              <w:rPr>
                <w:sz w:val="16"/>
              </w:rPr>
              <w:t>%</w:t>
            </w:r>
          </w:p>
        </w:tc>
        <w:tc>
          <w:tcPr>
            <w:tcW w:w="1535" w:type="dxa"/>
            <w:vAlign w:val="center"/>
          </w:tcPr>
          <w:p w:rsidR="008236D7" w:rsidRPr="00DB344C" w:rsidRDefault="008236D7" w:rsidP="008236D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1-0,93928</w:t>
            </w:r>
            <w:r>
              <w:rPr>
                <w:rFonts w:cstheme="minorHAnsi"/>
                <w:sz w:val="16"/>
              </w:rPr>
              <w:t>≈</w:t>
            </w:r>
            <w:r>
              <w:rPr>
                <w:sz w:val="16"/>
              </w:rPr>
              <w:t>6,07%</w:t>
            </w:r>
          </w:p>
        </w:tc>
        <w:tc>
          <w:tcPr>
            <w:tcW w:w="1535" w:type="dxa"/>
            <w:vAlign w:val="center"/>
          </w:tcPr>
          <w:p w:rsidR="008236D7" w:rsidRPr="00DB344C" w:rsidRDefault="008236D7" w:rsidP="008236D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1-0,96920</w:t>
            </w:r>
            <w:r>
              <w:rPr>
                <w:rFonts w:cstheme="minorHAnsi"/>
                <w:sz w:val="16"/>
              </w:rPr>
              <w:t>≈</w:t>
            </w:r>
            <w:r>
              <w:rPr>
                <w:sz w:val="16"/>
              </w:rPr>
              <w:t>3,08%</w:t>
            </w:r>
          </w:p>
        </w:tc>
        <w:tc>
          <w:tcPr>
            <w:tcW w:w="1536" w:type="dxa"/>
            <w:vAlign w:val="center"/>
          </w:tcPr>
          <w:p w:rsidR="008236D7" w:rsidRPr="00DB344C" w:rsidRDefault="008236D7" w:rsidP="008236D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1-0,98556</w:t>
            </w:r>
            <w:r>
              <w:rPr>
                <w:rFonts w:cstheme="minorHAnsi"/>
                <w:sz w:val="16"/>
              </w:rPr>
              <w:t>≈</w:t>
            </w:r>
            <w:r>
              <w:rPr>
                <w:sz w:val="16"/>
              </w:rPr>
              <w:t>1,44%</w:t>
            </w:r>
          </w:p>
        </w:tc>
      </w:tr>
      <w:tr w:rsidR="008236D7" w:rsidTr="008236D7">
        <w:tc>
          <w:tcPr>
            <w:tcW w:w="1535" w:type="dxa"/>
          </w:tcPr>
          <w:p w:rsidR="008236D7" w:rsidRPr="00915678" w:rsidRDefault="008236D7" w:rsidP="00251CC1">
            <w:pPr>
              <w:rPr>
                <w:sz w:val="16"/>
              </w:rPr>
            </w:pPr>
            <w:r w:rsidRPr="00915678">
              <w:rPr>
                <w:sz w:val="16"/>
              </w:rPr>
              <w:t xml:space="preserve">Wahrscheinlichkeit für den Fehler 2. Art </w:t>
            </w:r>
          </w:p>
        </w:tc>
        <w:tc>
          <w:tcPr>
            <w:tcW w:w="1535" w:type="dxa"/>
            <w:vAlign w:val="center"/>
          </w:tcPr>
          <w:p w:rsidR="008236D7" w:rsidRPr="00DB344C" w:rsidRDefault="004B5D96" w:rsidP="00251C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0,02799</w:t>
            </w:r>
            <w:r w:rsidR="008236D7">
              <w:rPr>
                <w:rFonts w:cstheme="minorHAnsi"/>
                <w:sz w:val="16"/>
              </w:rPr>
              <w:t>≈</w:t>
            </w:r>
            <w:r>
              <w:rPr>
                <w:sz w:val="16"/>
              </w:rPr>
              <w:t>2,80</w:t>
            </w:r>
            <w:r w:rsidR="008236D7">
              <w:rPr>
                <w:sz w:val="16"/>
              </w:rPr>
              <w:t>%</w:t>
            </w:r>
          </w:p>
        </w:tc>
        <w:tc>
          <w:tcPr>
            <w:tcW w:w="1535" w:type="dxa"/>
            <w:vAlign w:val="center"/>
          </w:tcPr>
          <w:p w:rsidR="008236D7" w:rsidRPr="00DB344C" w:rsidRDefault="004B5D96" w:rsidP="00251C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0,05396</w:t>
            </w:r>
            <w:r w:rsidR="008236D7">
              <w:rPr>
                <w:rFonts w:cstheme="minorHAnsi"/>
                <w:sz w:val="16"/>
              </w:rPr>
              <w:t>≈</w:t>
            </w:r>
            <w:r>
              <w:rPr>
                <w:sz w:val="16"/>
              </w:rPr>
              <w:t>5,40</w:t>
            </w:r>
            <w:r w:rsidR="008236D7">
              <w:rPr>
                <w:sz w:val="16"/>
              </w:rPr>
              <w:t>%</w:t>
            </w:r>
          </w:p>
        </w:tc>
        <w:tc>
          <w:tcPr>
            <w:tcW w:w="1535" w:type="dxa"/>
            <w:vAlign w:val="center"/>
          </w:tcPr>
          <w:p w:rsidR="008236D7" w:rsidRPr="00DB344C" w:rsidRDefault="004B5D96" w:rsidP="00251C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0,09550</w:t>
            </w:r>
            <w:r w:rsidR="008236D7">
              <w:rPr>
                <w:rFonts w:cstheme="minorHAnsi"/>
                <w:sz w:val="16"/>
              </w:rPr>
              <w:t>≈</w:t>
            </w:r>
            <w:r>
              <w:rPr>
                <w:sz w:val="16"/>
              </w:rPr>
              <w:t>9,55</w:t>
            </w:r>
            <w:r w:rsidR="008236D7">
              <w:rPr>
                <w:sz w:val="16"/>
              </w:rPr>
              <w:t>%</w:t>
            </w:r>
          </w:p>
        </w:tc>
        <w:tc>
          <w:tcPr>
            <w:tcW w:w="1536" w:type="dxa"/>
            <w:vAlign w:val="center"/>
          </w:tcPr>
          <w:p w:rsidR="008236D7" w:rsidRPr="00DB344C" w:rsidRDefault="004B5D96" w:rsidP="00251C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0,15609</w:t>
            </w:r>
            <w:r w:rsidR="008236D7">
              <w:rPr>
                <w:rFonts w:cstheme="minorHAnsi"/>
                <w:sz w:val="16"/>
              </w:rPr>
              <w:t>≈</w:t>
            </w:r>
            <w:r>
              <w:rPr>
                <w:sz w:val="16"/>
              </w:rPr>
              <w:t>15,61</w:t>
            </w:r>
            <w:r w:rsidR="008236D7">
              <w:rPr>
                <w:sz w:val="16"/>
              </w:rPr>
              <w:t>%</w:t>
            </w:r>
          </w:p>
        </w:tc>
      </w:tr>
    </w:tbl>
    <w:p w:rsidR="008236D7" w:rsidRDefault="008236D7" w:rsidP="008236D7">
      <w:r>
        <w:t xml:space="preserve">Für die Wahrscheinlichkeit des Fehlers 1. Art: </w:t>
      </w:r>
      <w:r w:rsidR="00D34194" w:rsidRPr="008236D7">
        <w:rPr>
          <w:position w:val="-28"/>
        </w:rPr>
        <w:object w:dxaOrig="4760" w:dyaOrig="680">
          <v:shape id="_x0000_i1048" type="#_x0000_t75" style="width:237.85pt;height:33.45pt" o:ole="">
            <v:imagedata r:id="rId51" o:title=""/>
          </v:shape>
          <o:OLEObject Type="Embed" ProgID="Equation.DSMT4" ShapeID="_x0000_i1048" DrawAspect="Content" ObjectID="_1389710641" r:id="rId52"/>
        </w:object>
      </w:r>
      <w:r w:rsidR="00D34194">
        <w:t>.</w:t>
      </w:r>
    </w:p>
    <w:p w:rsidR="00D34194" w:rsidRDefault="00D34194" w:rsidP="00D34194">
      <w:r>
        <w:t xml:space="preserve">Für die Wahrscheinlichkeit des Fehlers 2. Art: </w:t>
      </w:r>
      <w:r w:rsidRPr="008236D7">
        <w:rPr>
          <w:position w:val="-28"/>
        </w:rPr>
        <w:object w:dxaOrig="3040" w:dyaOrig="680">
          <v:shape id="_x0000_i1049" type="#_x0000_t75" style="width:151.7pt;height:33.45pt" o:ole="">
            <v:imagedata r:id="rId53" o:title=""/>
          </v:shape>
          <o:OLEObject Type="Embed" ProgID="Equation.DSMT4" ShapeID="_x0000_i1049" DrawAspect="Content" ObjectID="_1389710642" r:id="rId54"/>
        </w:object>
      </w:r>
      <w:r>
        <w:t>.</w:t>
      </w:r>
    </w:p>
    <w:p w:rsidR="00D34194" w:rsidRDefault="00D34194" w:rsidP="00D2451B">
      <w:pPr>
        <w:jc w:val="both"/>
      </w:pPr>
    </w:p>
    <w:p w:rsidR="00966742" w:rsidRDefault="00966742" w:rsidP="00D2451B">
      <w:pPr>
        <w:jc w:val="both"/>
      </w:pPr>
    </w:p>
    <w:p w:rsidR="00966742" w:rsidRDefault="00966742" w:rsidP="00D2451B">
      <w:pPr>
        <w:jc w:val="both"/>
      </w:pPr>
    </w:p>
    <w:p w:rsidR="00966742" w:rsidRDefault="00966742" w:rsidP="00D2451B">
      <w:pPr>
        <w:jc w:val="both"/>
      </w:pPr>
    </w:p>
    <w:p w:rsidR="00966742" w:rsidRDefault="00966742" w:rsidP="00D2451B">
      <w:pPr>
        <w:jc w:val="both"/>
      </w:pPr>
    </w:p>
    <w:p w:rsidR="00966742" w:rsidRDefault="00966742" w:rsidP="00D2451B">
      <w:pPr>
        <w:jc w:val="both"/>
      </w:pPr>
    </w:p>
    <w:p w:rsidR="00966742" w:rsidRDefault="00966742" w:rsidP="00D2451B">
      <w:pPr>
        <w:jc w:val="both"/>
      </w:pPr>
    </w:p>
    <w:p w:rsidR="00966742" w:rsidRDefault="00966742" w:rsidP="00D2451B">
      <w:pPr>
        <w:jc w:val="both"/>
      </w:pPr>
    </w:p>
    <w:p w:rsidR="00966742" w:rsidRDefault="00557FB6" w:rsidP="00D2451B">
      <w:pPr>
        <w:jc w:val="both"/>
      </w:pPr>
      <w:r>
        <w:rPr>
          <w:noProof/>
          <w:lang w:eastAsia="de-DE"/>
        </w:rPr>
        <w:lastRenderedPageBreak/>
        <w:drawing>
          <wp:inline distT="0" distB="0" distL="0" distR="0" wp14:anchorId="33276A75" wp14:editId="4D4BFF06">
            <wp:extent cx="5078186" cy="3673929"/>
            <wp:effectExtent l="0" t="0" r="27305" b="2222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  <w:bookmarkStart w:id="0" w:name="_GoBack"/>
      <w:bookmarkEnd w:id="0"/>
    </w:p>
    <w:p w:rsidR="00557FB6" w:rsidRDefault="00557FB6" w:rsidP="00D2451B">
      <w:pPr>
        <w:jc w:val="both"/>
      </w:pPr>
      <w:r>
        <w:rPr>
          <w:noProof/>
          <w:lang w:eastAsia="de-DE"/>
        </w:rPr>
        <w:drawing>
          <wp:inline distT="0" distB="0" distL="0" distR="0" wp14:anchorId="3BBA368B" wp14:editId="2016C716">
            <wp:extent cx="5078186" cy="4718957"/>
            <wp:effectExtent l="0" t="0" r="27305" b="24765"/>
            <wp:docPr id="3" name="Diagram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sectPr w:rsidR="00557F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6937"/>
    <w:multiLevelType w:val="hybridMultilevel"/>
    <w:tmpl w:val="9BC684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C3DB3"/>
    <w:multiLevelType w:val="hybridMultilevel"/>
    <w:tmpl w:val="405672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78"/>
    <w:rsid w:val="003242A7"/>
    <w:rsid w:val="004B5D96"/>
    <w:rsid w:val="00557FB6"/>
    <w:rsid w:val="00780D05"/>
    <w:rsid w:val="008236D7"/>
    <w:rsid w:val="00915678"/>
    <w:rsid w:val="00966742"/>
    <w:rsid w:val="009F7A60"/>
    <w:rsid w:val="00D2451B"/>
    <w:rsid w:val="00D34194"/>
    <w:rsid w:val="00DB344C"/>
    <w:rsid w:val="00EC1BCE"/>
    <w:rsid w:val="00F3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5678"/>
    <w:pPr>
      <w:ind w:left="720"/>
      <w:contextualSpacing/>
    </w:pPr>
  </w:style>
  <w:style w:type="table" w:styleId="Tabellenraster">
    <w:name w:val="Table Grid"/>
    <w:basedOn w:val="NormaleTabelle"/>
    <w:uiPriority w:val="59"/>
    <w:rsid w:val="0091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4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5678"/>
    <w:pPr>
      <w:ind w:left="720"/>
      <w:contextualSpacing/>
    </w:pPr>
  </w:style>
  <w:style w:type="table" w:styleId="Tabellenraster">
    <w:name w:val="Table Grid"/>
    <w:basedOn w:val="NormaleTabelle"/>
    <w:uiPriority w:val="59"/>
    <w:rsid w:val="0091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4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chart" Target="charts/chart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chart" Target="charts/chart2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erald\Documents\Gerald\Mathematik\Jahrgangsstufe%2012\Binomialverteilung%20mit%20Stabdiagramme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erald\Documents\Gerald\Mathematik\Jahrgangsstufe%2012\Binomialverteilung%20mit%20Stabdiagramme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de-DE"/>
              <a:t>Stabdiagramm</a:t>
            </a:r>
            <a:r>
              <a:rPr lang="de-DE" baseline="0"/>
              <a:t> B(50;0,2)</a:t>
            </a:r>
            <a:endParaRPr lang="de-DE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numRef>
              <c:f>Tabelle1!$B$2:$X$2</c:f>
              <c:numCache>
                <c:formatCode>General</c:formatCode>
                <c:ptCount val="2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</c:numCache>
            </c:numRef>
          </c:cat>
          <c:val>
            <c:numRef>
              <c:f>Tabelle1!$B$3:$X$3</c:f>
              <c:numCache>
                <c:formatCode>General</c:formatCode>
                <c:ptCount val="23"/>
                <c:pt idx="0">
                  <c:v>1.4272476927059582E-5</c:v>
                </c:pt>
                <c:pt idx="1">
                  <c:v>1.7840596158824487E-4</c:v>
                </c:pt>
                <c:pt idx="2">
                  <c:v>1.0927365147280013E-3</c:v>
                </c:pt>
                <c:pt idx="3">
                  <c:v>4.3709460589120034E-3</c:v>
                </c:pt>
                <c:pt idx="4">
                  <c:v>1.2839654048054015E-2</c:v>
                </c:pt>
                <c:pt idx="5">
                  <c:v>2.9531204310524199E-2</c:v>
                </c:pt>
                <c:pt idx="6">
                  <c:v>5.53710080822329E-2</c:v>
                </c:pt>
                <c:pt idx="7">
                  <c:v>8.7011584129223107E-2</c:v>
                </c:pt>
                <c:pt idx="8">
                  <c:v>0.11692181617364354</c:v>
                </c:pt>
                <c:pt idx="9">
                  <c:v>0.13640878553591748</c:v>
                </c:pt>
                <c:pt idx="10">
                  <c:v>0.13981900517431542</c:v>
                </c:pt>
                <c:pt idx="11">
                  <c:v>0.12710818652210495</c:v>
                </c:pt>
                <c:pt idx="12">
                  <c:v>0.10327540154921026</c:v>
                </c:pt>
                <c:pt idx="13">
                  <c:v>7.547048574749983E-2</c:v>
                </c:pt>
                <c:pt idx="14">
                  <c:v>4.9864428083169536E-2</c:v>
                </c:pt>
                <c:pt idx="15">
                  <c:v>2.9918656849901724E-2</c:v>
                </c:pt>
                <c:pt idx="16">
                  <c:v>1.6361765464789978E-2</c:v>
                </c:pt>
                <c:pt idx="17">
                  <c:v>8.1808827323950027E-3</c:v>
                </c:pt>
                <c:pt idx="18">
                  <c:v>3.749571252347708E-3</c:v>
                </c:pt>
                <c:pt idx="19">
                  <c:v>1.5787668430937724E-3</c:v>
                </c:pt>
                <c:pt idx="20">
                  <c:v>6.1177215169883688E-4</c:v>
                </c:pt>
                <c:pt idx="21">
                  <c:v>2.1849005417815619E-4</c:v>
                </c:pt>
                <c:pt idx="22">
                  <c:v>7.2002404217801246E-5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292544"/>
        <c:axId val="123556224"/>
      </c:barChart>
      <c:catAx>
        <c:axId val="45292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3556224"/>
        <c:crosses val="autoZero"/>
        <c:auto val="1"/>
        <c:lblAlgn val="ctr"/>
        <c:lblOffset val="100"/>
        <c:noMultiLvlLbl val="0"/>
      </c:catAx>
      <c:valAx>
        <c:axId val="1235562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5292544"/>
        <c:crosses val="autoZero"/>
        <c:crossBetween val="between"/>
        <c:majorUnit val="1.0000000000000002E-2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Kumulativ</c:v>
          </c:tx>
          <c:invertIfNegative val="0"/>
          <c:cat>
            <c:numRef>
              <c:f>Tabelle1!$B$2:$X$2</c:f>
              <c:numCache>
                <c:formatCode>General</c:formatCode>
                <c:ptCount val="2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</c:numCache>
            </c:numRef>
          </c:cat>
          <c:val>
            <c:numRef>
              <c:f>Tabelle1!$B$4:$X$4</c:f>
              <c:numCache>
                <c:formatCode>General</c:formatCode>
                <c:ptCount val="23"/>
                <c:pt idx="0">
                  <c:v>1.4272476927059582E-5</c:v>
                </c:pt>
                <c:pt idx="1">
                  <c:v>1.9267843851530442E-4</c:v>
                </c:pt>
                <c:pt idx="2">
                  <c:v>1.2854149532433052E-3</c:v>
                </c:pt>
                <c:pt idx="3">
                  <c:v>5.656361012155311E-3</c:v>
                </c:pt>
                <c:pt idx="4">
                  <c:v>1.8496015060209318E-2</c:v>
                </c:pt>
                <c:pt idx="5">
                  <c:v>4.8027219370733551E-2</c:v>
                </c:pt>
                <c:pt idx="6">
                  <c:v>0.1033982274529664</c:v>
                </c:pt>
                <c:pt idx="7">
                  <c:v>0.19040981158218975</c:v>
                </c:pt>
                <c:pt idx="8">
                  <c:v>0.30733162775583295</c:v>
                </c:pt>
                <c:pt idx="9">
                  <c:v>0.44374041329175101</c:v>
                </c:pt>
                <c:pt idx="10">
                  <c:v>0.58355941846606574</c:v>
                </c:pt>
                <c:pt idx="11">
                  <c:v>0.71066760498817128</c:v>
                </c:pt>
                <c:pt idx="12">
                  <c:v>0.81394300653738128</c:v>
                </c:pt>
                <c:pt idx="13">
                  <c:v>0.88941349228488109</c:v>
                </c:pt>
                <c:pt idx="14">
                  <c:v>0.9392779203680508</c:v>
                </c:pt>
                <c:pt idx="15">
                  <c:v>0.96919657721795249</c:v>
                </c:pt>
                <c:pt idx="16">
                  <c:v>0.98555834268274234</c:v>
                </c:pt>
                <c:pt idx="17">
                  <c:v>0.99373922541513737</c:v>
                </c:pt>
                <c:pt idx="18">
                  <c:v>0.99748879666748502</c:v>
                </c:pt>
                <c:pt idx="19">
                  <c:v>0.9990675635105789</c:v>
                </c:pt>
                <c:pt idx="20">
                  <c:v>0.99967933566227773</c:v>
                </c:pt>
                <c:pt idx="21">
                  <c:v>0.99989782571645591</c:v>
                </c:pt>
                <c:pt idx="22">
                  <c:v>0.9999698281206737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300352"/>
        <c:axId val="43301888"/>
      </c:barChart>
      <c:catAx>
        <c:axId val="43300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301888"/>
        <c:crosses val="autoZero"/>
        <c:auto val="1"/>
        <c:lblAlgn val="ctr"/>
        <c:lblOffset val="100"/>
        <c:noMultiLvlLbl val="0"/>
      </c:catAx>
      <c:valAx>
        <c:axId val="43301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300352"/>
        <c:crosses val="autoZero"/>
        <c:crossBetween val="between"/>
        <c:majorUnit val="5.000000000000001E-2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Mackenrodt</dc:creator>
  <cp:lastModifiedBy>Gerald Mackenrodt</cp:lastModifiedBy>
  <cp:revision>7</cp:revision>
  <cp:lastPrinted>2012-02-02T16:56:00Z</cp:lastPrinted>
  <dcterms:created xsi:type="dcterms:W3CDTF">2012-01-31T21:54:00Z</dcterms:created>
  <dcterms:modified xsi:type="dcterms:W3CDTF">2012-02-02T16:57:00Z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